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yebrow"/>
        <w:jc w:val="center"/>
      </w:pPr>
      <w:r>
        <w:t>ANY WASTE REMOVAL</w:t>
      </w:r>
    </w:p>
    <w:p>
      <w:pPr>
        <w:spacing w:before="200" w:after="0"/>
        <w:jc w:val="center"/>
      </w:pPr>
      <w:r>
        <w:rPr>
          <w:rFonts w:ascii="DejaVu Serif" w:hAnsi="DejaVu Serif"/>
          <w:b/>
          <w:color w:val="0B1612"/>
          <w:sz w:val="54"/>
        </w:rPr>
        <w:t xml:space="preserve">ANY </w:t>
      </w:r>
      <w:r>
        <w:rPr>
          <w:rFonts w:ascii="DejaVu Serif" w:hAnsi="DejaVu Serif"/>
          <w:b/>
          <w:color w:val="4E9F3D"/>
          <w:sz w:val="54"/>
        </w:rPr>
        <w:t>WASTE</w:t>
      </w:r>
      <w:r>
        <w:rPr>
          <w:rFonts w:ascii="DejaVu Serif" w:hAnsi="DejaVu Serif"/>
          <w:b/>
          <w:color w:val="0B1612"/>
          <w:sz w:val="54"/>
        </w:rPr>
        <w:t xml:space="preserve"> REMOVAL</w:t>
      </w:r>
    </w:p>
    <w:p>
      <w:pPr>
        <w:spacing w:after="360"/>
        <w:jc w:val="center"/>
      </w:pPr>
      <w:r>
        <w:rPr>
          <w:rFonts w:ascii="DejaVu Serif" w:hAnsi="DejaVu Serif"/>
          <w:i/>
          <w:color w:val="5D6862"/>
          <w:sz w:val="18"/>
        </w:rPr>
        <w:t>Any Waste, Anywhere, Anytime</w:t>
      </w:r>
    </w:p>
    <w:p>
      <w:pPr>
        <w:spacing w:after="80"/>
        <w:jc w:val="center"/>
      </w:pPr>
      <w:r>
        <w:rPr>
          <w:rFonts w:ascii="DejaVu Serif" w:hAnsi="DejaVu Serif"/>
          <w:b/>
          <w:color w:val="0B1612"/>
          <w:sz w:val="44"/>
        </w:rPr>
        <w:t>PRIVACY POLICY</w:t>
      </w:r>
    </w:p>
    <w:p>
      <w:pPr>
        <w:spacing w:after="400"/>
        <w:jc w:val="center"/>
      </w:pPr>
      <w:r>
        <w:rPr>
          <w:rFonts w:ascii="Lato" w:hAnsi="Lato"/>
          <w:color w:val="5D6862"/>
          <w:sz w:val="20"/>
        </w:rPr>
        <w:t>How we collect, use, share and protect personal information</w:t>
      </w:r>
    </w:p>
    <w:tbl>
      <w:tblPr>
        <w:tblW w:type="auto" w:w="0"/>
        <w:jc w:val="center"/>
        <w:tblLayout w:type="fixed"/>
        <w:tblLook w:firstColumn="1" w:firstRow="1" w:lastColumn="0" w:lastRow="0" w:noHBand="0" w:noVBand="1" w:val="04A0"/>
      </w:tblPr>
      <w:tblGrid>
        <w:gridCol w:w="2232"/>
        <w:gridCol w:w="6768"/>
      </w:tblGrid>
      <w:tr>
        <w:tc>
          <w:tcPr>
            <w:tcW w:type="dxa" w:w="4997"/>
            <w:shd w:fill="EAF4E7"/>
            <w:vAlign w:val="center"/>
            <w:tcBorders>
              <w:bottom w:val="single" w:sz="3" w:color="D8E4D5"/>
            </w:tcBorders>
          </w:tcPr>
          <w:p>
            <w:pPr>
              <w:spacing w:after="0"/>
            </w:pPr>
            <w:r>
              <w:rPr>
                <w:b/>
                <w:color w:val="234B38"/>
                <w:sz w:val="17"/>
              </w:rPr>
              <w:t>Legal company</w:t>
            </w:r>
          </w:p>
        </w:tc>
        <w:tc>
          <w:tcPr>
            <w:tcW w:type="dxa" w:w="4997"/>
            <w:shd w:fill="F6F8F6"/>
            <w:vAlign w:val="center"/>
            <w:tcBorders>
              <w:bottom w:val="single" w:sz="3" w:color="D8E4D5"/>
            </w:tcBorders>
          </w:tcPr>
          <w:p>
            <w:pPr>
              <w:spacing w:after="0"/>
            </w:pPr>
            <w:r>
              <w:rPr>
                <w:sz w:val="17"/>
              </w:rPr>
              <w:t>Any Waste Removal Limited</w:t>
            </w:r>
          </w:p>
        </w:tc>
      </w:tr>
      <w:tr>
        <w:tc>
          <w:tcPr>
            <w:tcW w:type="dxa" w:w="4997"/>
            <w:shd w:fill="EAF4E7"/>
            <w:vAlign w:val="center"/>
            <w:tcBorders>
              <w:bottom w:val="single" w:sz="3" w:color="D8E4D5"/>
            </w:tcBorders>
          </w:tcPr>
          <w:p>
            <w:pPr>
              <w:spacing w:after="0"/>
            </w:pPr>
            <w:r>
              <w:rPr>
                <w:b/>
                <w:color w:val="234B38"/>
                <w:sz w:val="17"/>
              </w:rPr>
              <w:t>Company number</w:t>
            </w:r>
          </w:p>
        </w:tc>
        <w:tc>
          <w:tcPr>
            <w:tcW w:type="dxa" w:w="4997"/>
            <w:shd w:fill="F6F8F6"/>
            <w:vAlign w:val="center"/>
            <w:tcBorders>
              <w:bottom w:val="single" w:sz="3" w:color="D8E4D5"/>
            </w:tcBorders>
          </w:tcPr>
          <w:p>
            <w:pPr>
              <w:spacing w:after="0"/>
            </w:pPr>
            <w:r>
              <w:rPr>
                <w:sz w:val="17"/>
              </w:rPr>
              <w:t>16964847</w:t>
            </w:r>
          </w:p>
        </w:tc>
      </w:tr>
      <w:tr>
        <w:tc>
          <w:tcPr>
            <w:tcW w:type="dxa" w:w="4997"/>
            <w:shd w:fill="EAF4E7"/>
            <w:vAlign w:val="center"/>
            <w:tcBorders>
              <w:bottom w:val="single" w:sz="3" w:color="D8E4D5"/>
            </w:tcBorders>
          </w:tcPr>
          <w:p>
            <w:pPr>
              <w:spacing w:after="0"/>
            </w:pPr>
            <w:r>
              <w:rPr>
                <w:b/>
                <w:color w:val="234B38"/>
                <w:sz w:val="17"/>
              </w:rPr>
              <w:t>Registered office</w:t>
            </w:r>
          </w:p>
        </w:tc>
        <w:tc>
          <w:tcPr>
            <w:tcW w:type="dxa" w:w="4997"/>
            <w:shd w:fill="F6F8F6"/>
            <w:vAlign w:val="center"/>
            <w:tcBorders>
              <w:bottom w:val="single" w:sz="3" w:color="D8E4D5"/>
            </w:tcBorders>
          </w:tcPr>
          <w:p>
            <w:pPr>
              <w:spacing w:after="0"/>
            </w:pPr>
            <w:r>
              <w:rPr>
                <w:sz w:val="17"/>
              </w:rPr>
              <w:t>7 Popes Close, Colnbrook, Slough, England, SL3 0LP</w:t>
            </w:r>
          </w:p>
        </w:tc>
      </w:tr>
      <w:tr>
        <w:tc>
          <w:tcPr>
            <w:tcW w:type="dxa" w:w="4997"/>
            <w:shd w:fill="EAF4E7"/>
            <w:vAlign w:val="center"/>
            <w:tcBorders>
              <w:bottom w:val="single" w:sz="3" w:color="D8E4D5"/>
            </w:tcBorders>
          </w:tcPr>
          <w:p>
            <w:pPr>
              <w:spacing w:after="0"/>
            </w:pPr>
            <w:r>
              <w:rPr>
                <w:b/>
                <w:color w:val="234B38"/>
                <w:sz w:val="17"/>
              </w:rPr>
              <w:t>Contact</w:t>
            </w:r>
          </w:p>
        </w:tc>
        <w:tc>
          <w:tcPr>
            <w:tcW w:type="dxa" w:w="4997"/>
            <w:shd w:fill="F6F8F6"/>
            <w:vAlign w:val="center"/>
            <w:tcBorders>
              <w:bottom w:val="single" w:sz="3" w:color="D8E4D5"/>
            </w:tcBorders>
          </w:tcPr>
          <w:p>
            <w:pPr>
              <w:spacing w:after="0"/>
            </w:pPr>
            <w:r>
              <w:rPr>
                <w:sz w:val="17"/>
              </w:rPr>
              <w:t>07463 418783  |  anywasteremovals@gmail.com</w:t>
            </w:r>
          </w:p>
        </w:tc>
      </w:tr>
      <w:tr>
        <w:tc>
          <w:tcPr>
            <w:tcW w:type="dxa" w:w="4997"/>
            <w:shd w:fill="EAF4E7"/>
            <w:vAlign w:val="center"/>
            <w:tcBorders>
              <w:bottom w:val="single" w:sz="3" w:color="D8E4D5"/>
            </w:tcBorders>
          </w:tcPr>
          <w:p>
            <w:pPr>
              <w:spacing w:after="0"/>
            </w:pPr>
            <w:r>
              <w:rPr>
                <w:b/>
                <w:color w:val="234B38"/>
                <w:sz w:val="17"/>
              </w:rPr>
              <w:t>Website</w:t>
            </w:r>
          </w:p>
        </w:tc>
        <w:tc>
          <w:tcPr>
            <w:tcW w:type="dxa" w:w="4997"/>
            <w:shd w:fill="F6F8F6"/>
            <w:vAlign w:val="center"/>
            <w:tcBorders>
              <w:bottom w:val="single" w:sz="3" w:color="D8E4D5"/>
            </w:tcBorders>
          </w:tcPr>
          <w:p>
            <w:pPr>
              <w:spacing w:after="0"/>
            </w:pPr>
            <w:r>
              <w:rPr>
                <w:sz w:val="17"/>
              </w:rPr>
              <w:t>www.anywasteremoval.uk</w:t>
            </w:r>
          </w:p>
        </w:tc>
      </w:tr>
    </w:tbl>
    <w:p/>
    <w:p>
      <w:pPr>
        <w:spacing w:before="120"/>
        <w:jc w:val="center"/>
      </w:pPr>
      <w:r>
        <w:rPr>
          <w:color w:val="5D6862"/>
          <w:sz w:val="16"/>
        </w:rPr>
        <w:t>Last updated: 2 August 2026</w:t>
      </w:r>
    </w:p>
    <w:p>
      <w:r>
        <w:br w:type="page"/>
      </w:r>
    </w:p>
    <w:p>
      <w:pPr>
        <w:pStyle w:val="Heading1"/>
      </w:pPr>
      <w:r>
        <w:t>Privacy at a glance</w:t>
      </w:r>
    </w:p>
    <w:tbl>
      <w:tblPr>
        <w:tblW w:type="auto" w:w="0"/>
        <w:jc w:val="center"/>
        <w:tblLook w:firstColumn="1" w:firstRow="1" w:lastColumn="0" w:lastRow="0" w:noHBand="0" w:noVBand="1" w:val="04A0"/>
      </w:tblPr>
      <w:tblGrid>
        <w:gridCol w:w="9994"/>
      </w:tblGrid>
      <w:tr>
        <w:tc>
          <w:tcPr>
            <w:tcW w:type="dxa" w:w="9994"/>
            <w:shd w:fill="EAF4E7"/>
            <w:tcBorders>
              <w:top w:val="single" w:sz="8" w:color="4E9F3D"/>
              <w:left w:val="single" w:sz="8" w:color="4E9F3D"/>
              <w:bottom w:val="single" w:sz="8" w:color="4E9F3D"/>
              <w:right w:val="single" w:sz="8" w:color="4E9F3D"/>
            </w:tcBorders>
          </w:tcPr>
          <w:p>
            <w:pPr>
              <w:spacing w:after="60"/>
            </w:pPr>
            <w:r>
              <w:rPr>
                <w:b/>
                <w:color w:val="0B1612"/>
                <w:sz w:val="22"/>
              </w:rPr>
              <w:t>What this means for you</w:t>
            </w:r>
          </w:p>
          <w:p>
            <w:pPr>
              <w:pStyle w:val="ListBullet"/>
              <w:spacing w:after="40"/>
              <w:ind w:left="216" w:hanging="72"/>
            </w:pPr>
            <w:r>
              <w:t>We use personal information to provide quotes, manage WhatsApp bookings, carry out services, take payment, keep lawful waste records and deal with questions or claims.</w:t>
            </w:r>
          </w:p>
          <w:p>
            <w:pPr>
              <w:pStyle w:val="ListBullet"/>
              <w:spacing w:after="40"/>
              <w:ind w:left="216" w:hanging="72"/>
            </w:pPr>
            <w:r>
              <w:t>WhatsApp messages, photographs, videos and booking records may be kept as evidence of the agreed work and what happened at the site.</w:t>
            </w:r>
          </w:p>
          <w:p>
            <w:pPr>
              <w:pStyle w:val="ListBullet"/>
              <w:spacing w:after="40"/>
              <w:ind w:left="216" w:hanging="72"/>
            </w:pPr>
            <w:r>
              <w:t>We do not sell personal information. We share it only where needed for the service, legal compliance, payment, professional support or the protection of legitimate interests.</w:t>
            </w:r>
          </w:p>
          <w:p>
            <w:pPr>
              <w:pStyle w:val="ListBullet"/>
              <w:spacing w:after="40"/>
              <w:ind w:left="216" w:hanging="72"/>
            </w:pPr>
            <w:r>
              <w:t>You can ask about your information and exercise applicable data-protection rights by emailing anywasteremovals@gmail.com.</w:t>
            </w:r>
          </w:p>
        </w:tc>
      </w:tr>
    </w:tbl>
    <w:p>
      <w:pPr>
        <w:spacing w:after="0"/>
      </w:pPr>
    </w:p>
    <w:p>
      <w:pPr>
        <w:pStyle w:val="Heading1"/>
      </w:pPr>
      <w:r>
        <w:t>1. Who we are</w:t>
      </w:r>
    </w:p>
    <w:p>
      <w:r>
        <w:t>Any Waste Removal Limited is the controller of the personal information described in this policy for most customer and website activities. We trade as Any Waste Removal and are registered in England and Wales under company number 16964847.</w:t>
      </w:r>
    </w:p>
    <w:p>
      <w:r>
        <w:t>For some commercial subcontract work, the client or main contractor may decide why and how particular information is used. In that situation, we may act as a processor, an independent controller, or both parties may have separate responsibilities. The relevant contract will determine the position.</w:t>
      </w:r>
    </w:p>
    <w:p>
      <w:r>
        <w:rPr>
          <w:b/>
        </w:rPr>
        <w:t xml:space="preserve">Privacy contact: </w:t>
      </w:r>
      <w:r>
        <w:t>anywasteremovals@gmail.com | 07463 418783 | 7 Popes Close, Colnbrook, Slough, England, SL3 0LP</w:t>
      </w:r>
    </w:p>
    <w:p>
      <w:pPr>
        <w:pStyle w:val="Heading1"/>
      </w:pPr>
      <w:r>
        <w:t>2. Who this policy applies to</w:t>
      </w:r>
    </w:p>
    <w:p>
      <w:r>
        <w:t>This policy applies to website visitors, people who request a quote, customers, property owners or representatives, landlords and agents, business contacts, suppliers, subcontractor contacts, people making complaints or claims, and anyone whose personal information is included in communications or job records.</w:t>
      </w:r>
    </w:p>
    <w:p>
      <w:pPr>
        <w:pStyle w:val="Heading1"/>
      </w:pPr>
      <w:r>
        <w:t>3. Personal information we may collect</w:t>
      </w:r>
    </w:p>
    <w:tbl>
      <w:tblPr>
        <w:tblW w:type="auto" w:w="0"/>
        <w:jc w:val="center"/>
        <w:tblLayout w:type="fixed"/>
        <w:tblLook w:firstColumn="1" w:firstRow="1" w:lastColumn="0" w:lastRow="0" w:noHBand="0" w:noVBand="1" w:val="04A0"/>
      </w:tblPr>
      <w:tblGrid>
        <w:gridCol w:w="2952"/>
        <w:gridCol w:w="6408"/>
      </w:tblGrid>
      <w:tr>
        <w:trPr>
          <w:tblHeader w:val="true"/>
        </w:trPr>
        <w:tc>
          <w:tcPr>
            <w:tcW w:type="dxa" w:w="4997"/>
            <w:shd w:fill="0B1612"/>
          </w:tcPr>
          <w:p>
            <w:pPr>
              <w:spacing w:after="0"/>
            </w:pPr>
            <w:r>
              <w:rPr>
                <w:b/>
                <w:color w:val="FFFFFF"/>
                <w:sz w:val="16"/>
              </w:rPr>
              <w:t>Category</w:t>
            </w:r>
          </w:p>
        </w:tc>
        <w:tc>
          <w:tcPr>
            <w:tcW w:type="dxa" w:w="4997"/>
            <w:shd w:fill="0B1612"/>
          </w:tcPr>
          <w:p>
            <w:pPr>
              <w:spacing w:after="0"/>
            </w:pPr>
            <w:r>
              <w:rPr>
                <w:b/>
                <w:color w:val="FFFFFF"/>
                <w:sz w:val="16"/>
              </w:rPr>
              <w:t>Examples</w:t>
            </w:r>
          </w:p>
        </w:tc>
      </w:tr>
      <w:tr>
        <w:tc>
          <w:tcPr>
            <w:tcW w:type="dxa" w:w="2952"/>
            <w:shd w:fill="FFFFFF"/>
            <w:vAlign w:val="top"/>
            <w:tcBorders>
              <w:bottom w:val="single" w:sz="3" w:color="DDE5DF"/>
            </w:tcBorders>
          </w:tcPr>
          <w:p>
            <w:pPr>
              <w:spacing w:after="0"/>
            </w:pPr>
            <w:r>
              <w:rPr>
                <w:b/>
                <w:color w:val="234B38"/>
                <w:sz w:val="16"/>
              </w:rPr>
              <w:t>Identity and contact details</w:t>
            </w:r>
          </w:p>
        </w:tc>
        <w:tc>
          <w:tcPr>
            <w:tcW w:type="dxa" w:w="6408"/>
            <w:shd w:fill="FFFFFF"/>
            <w:vAlign w:val="top"/>
            <w:tcBorders>
              <w:bottom w:val="single" w:sz="3" w:color="DDE5DF"/>
            </w:tcBorders>
          </w:tcPr>
          <w:p>
            <w:pPr>
              <w:spacing w:after="0"/>
            </w:pPr>
            <w:r>
              <w:rPr>
                <w:sz w:val="16"/>
              </w:rPr>
              <w:t>Name, telephone number, WhatsApp number, email address, billing address, service address, postcode, company name, job title and contact preferences.</w:t>
            </w:r>
          </w:p>
        </w:tc>
      </w:tr>
      <w:tr>
        <w:tc>
          <w:tcPr>
            <w:tcW w:type="dxa" w:w="2952"/>
            <w:shd w:fill="F6F8F6"/>
            <w:vAlign w:val="top"/>
            <w:tcBorders>
              <w:bottom w:val="single" w:sz="3" w:color="DDE5DF"/>
            </w:tcBorders>
          </w:tcPr>
          <w:p>
            <w:pPr>
              <w:spacing w:after="0"/>
            </w:pPr>
            <w:r>
              <w:rPr>
                <w:b/>
                <w:color w:val="234B38"/>
                <w:sz w:val="16"/>
              </w:rPr>
              <w:t>Enquiries and bookings</w:t>
            </w:r>
          </w:p>
        </w:tc>
        <w:tc>
          <w:tcPr>
            <w:tcW w:type="dxa" w:w="6408"/>
            <w:shd w:fill="F6F8F6"/>
            <w:vAlign w:val="top"/>
            <w:tcBorders>
              <w:bottom w:val="single" w:sz="3" w:color="DDE5DF"/>
            </w:tcBorders>
          </w:tcPr>
          <w:p>
            <w:pPr>
              <w:spacing w:after="0"/>
            </w:pPr>
            <w:r>
              <w:rPr>
                <w:sz w:val="16"/>
              </w:rPr>
              <w:t>Quote requests, service requirements, dates or arrival windows, access and parking information, instructions, booking confirmations, variations, cancellations and rescheduling messages.</w:t>
            </w:r>
          </w:p>
        </w:tc>
      </w:tr>
      <w:tr>
        <w:tc>
          <w:tcPr>
            <w:tcW w:type="dxa" w:w="2952"/>
            <w:shd w:fill="FFFFFF"/>
            <w:vAlign w:val="top"/>
            <w:tcBorders>
              <w:bottom w:val="single" w:sz="3" w:color="DDE5DF"/>
            </w:tcBorders>
          </w:tcPr>
          <w:p>
            <w:pPr>
              <w:spacing w:after="0"/>
            </w:pPr>
            <w:r>
              <w:rPr>
                <w:b/>
                <w:color w:val="234B38"/>
                <w:sz w:val="16"/>
              </w:rPr>
              <w:t>WhatsApp and other communications</w:t>
            </w:r>
          </w:p>
        </w:tc>
        <w:tc>
          <w:tcPr>
            <w:tcW w:type="dxa" w:w="6408"/>
            <w:shd w:fill="FFFFFF"/>
            <w:vAlign w:val="top"/>
            <w:tcBorders>
              <w:bottom w:val="single" w:sz="3" w:color="DDE5DF"/>
            </w:tcBorders>
          </w:tcPr>
          <w:p>
            <w:pPr>
              <w:spacing w:after="0"/>
            </w:pPr>
            <w:r>
              <w:rPr>
                <w:sz w:val="16"/>
              </w:rPr>
              <w:t>Messages, photographs, videos, voice notes, documents, timestamps, delivery information, call summaries and emails used to discuss or evidence the service.</w:t>
            </w:r>
          </w:p>
        </w:tc>
      </w:tr>
      <w:tr>
        <w:tc>
          <w:tcPr>
            <w:tcW w:type="dxa" w:w="2952"/>
            <w:shd w:fill="F6F8F6"/>
            <w:vAlign w:val="top"/>
            <w:tcBorders>
              <w:bottom w:val="single" w:sz="3" w:color="DDE5DF"/>
            </w:tcBorders>
          </w:tcPr>
          <w:p>
            <w:pPr>
              <w:spacing w:after="0"/>
            </w:pPr>
            <w:r>
              <w:rPr>
                <w:b/>
                <w:color w:val="234B38"/>
                <w:sz w:val="16"/>
              </w:rPr>
              <w:t>Job and site information</w:t>
            </w:r>
          </w:p>
        </w:tc>
        <w:tc>
          <w:tcPr>
            <w:tcW w:type="dxa" w:w="6408"/>
            <w:shd w:fill="F6F8F6"/>
            <w:vAlign w:val="top"/>
            <w:tcBorders>
              <w:bottom w:val="single" w:sz="3" w:color="DDE5DF"/>
            </w:tcBorders>
          </w:tcPr>
          <w:p>
            <w:pPr>
              <w:spacing w:after="0"/>
            </w:pPr>
            <w:r>
              <w:rPr>
                <w:sz w:val="16"/>
              </w:rPr>
              <w:t>Waste descriptions, item lists, measurements, access routes, hazards, property condition, before/progress/after photographs or video, completion records and crew notes.</w:t>
            </w:r>
          </w:p>
        </w:tc>
      </w:tr>
      <w:tr>
        <w:tc>
          <w:tcPr>
            <w:tcW w:type="dxa" w:w="2952"/>
            <w:shd w:fill="FFFFFF"/>
            <w:vAlign w:val="top"/>
            <w:tcBorders>
              <w:bottom w:val="single" w:sz="3" w:color="DDE5DF"/>
            </w:tcBorders>
          </w:tcPr>
          <w:p>
            <w:pPr>
              <w:spacing w:after="0"/>
            </w:pPr>
            <w:r>
              <w:rPr>
                <w:b/>
                <w:color w:val="234B38"/>
                <w:sz w:val="16"/>
              </w:rPr>
              <w:t>Payment and transaction information</w:t>
            </w:r>
          </w:p>
        </w:tc>
        <w:tc>
          <w:tcPr>
            <w:tcW w:type="dxa" w:w="6408"/>
            <w:shd w:fill="FFFFFF"/>
            <w:vAlign w:val="top"/>
            <w:tcBorders>
              <w:bottom w:val="single" w:sz="3" w:color="DDE5DF"/>
            </w:tcBorders>
          </w:tcPr>
          <w:p>
            <w:pPr>
              <w:spacing w:after="0"/>
            </w:pPr>
            <w:r>
              <w:rPr>
                <w:sz w:val="16"/>
              </w:rPr>
              <w:t>Quotes, invoices, deposits, payment status, refunds, bank-payment references, chargeback or debt-recovery information. We do not intentionally store full payment-card details.</w:t>
            </w:r>
          </w:p>
        </w:tc>
      </w:tr>
      <w:tr>
        <w:tc>
          <w:tcPr>
            <w:tcW w:type="dxa" w:w="2952"/>
            <w:shd w:fill="F6F8F6"/>
            <w:vAlign w:val="top"/>
            <w:tcBorders>
              <w:bottom w:val="single" w:sz="3" w:color="DDE5DF"/>
            </w:tcBorders>
          </w:tcPr>
          <w:p>
            <w:pPr>
              <w:spacing w:after="0"/>
            </w:pPr>
            <w:r>
              <w:rPr>
                <w:b/>
                <w:color w:val="234B38"/>
                <w:sz w:val="16"/>
              </w:rPr>
              <w:t>Compliance and disposal records</w:t>
            </w:r>
          </w:p>
        </w:tc>
        <w:tc>
          <w:tcPr>
            <w:tcW w:type="dxa" w:w="6408"/>
            <w:shd w:fill="F6F8F6"/>
            <w:vAlign w:val="top"/>
            <w:tcBorders>
              <w:bottom w:val="single" w:sz="3" w:color="DDE5DF"/>
            </w:tcBorders>
          </w:tcPr>
          <w:p>
            <w:pPr>
              <w:spacing w:after="0"/>
            </w:pPr>
            <w:r>
              <w:rPr>
                <w:sz w:val="16"/>
              </w:rPr>
              <w:t>Waste transfer information, disposal destinations, signatures, authorised carrier or site information, and records needed for tax, accounting, health and safety or regulatory duties.</w:t>
            </w:r>
          </w:p>
        </w:tc>
      </w:tr>
      <w:tr>
        <w:tc>
          <w:tcPr>
            <w:tcW w:type="dxa" w:w="2952"/>
            <w:shd w:fill="FFFFFF"/>
            <w:vAlign w:val="top"/>
            <w:tcBorders>
              <w:bottom w:val="single" w:sz="3" w:color="DDE5DF"/>
            </w:tcBorders>
          </w:tcPr>
          <w:p>
            <w:pPr>
              <w:spacing w:after="0"/>
            </w:pPr>
            <w:r>
              <w:rPr>
                <w:b/>
                <w:color w:val="234B38"/>
                <w:sz w:val="16"/>
              </w:rPr>
              <w:t>Complaints, incidents and claims</w:t>
            </w:r>
          </w:p>
        </w:tc>
        <w:tc>
          <w:tcPr>
            <w:tcW w:type="dxa" w:w="6408"/>
            <w:shd w:fill="FFFFFF"/>
            <w:vAlign w:val="top"/>
            <w:tcBorders>
              <w:bottom w:val="single" w:sz="3" w:color="DDE5DF"/>
            </w:tcBorders>
          </w:tcPr>
          <w:p>
            <w:pPr>
              <w:spacing w:after="0"/>
            </w:pPr>
            <w:r>
              <w:rPr>
                <w:sz w:val="16"/>
              </w:rPr>
              <w:t>Details of concerns, alleged damage, witness information, inspection records, evidence, correspondence, resolutions and legal or insurance information.</w:t>
            </w:r>
          </w:p>
        </w:tc>
      </w:tr>
      <w:tr>
        <w:tc>
          <w:tcPr>
            <w:tcW w:type="dxa" w:w="2952"/>
            <w:shd w:fill="F6F8F6"/>
            <w:vAlign w:val="top"/>
            <w:tcBorders>
              <w:bottom w:val="single" w:sz="3" w:color="DDE5DF"/>
            </w:tcBorders>
          </w:tcPr>
          <w:p>
            <w:pPr>
              <w:spacing w:after="0"/>
            </w:pPr>
            <w:r>
              <w:rPr>
                <w:b/>
                <w:color w:val="234B38"/>
                <w:sz w:val="16"/>
              </w:rPr>
              <w:t>Website and device information</w:t>
            </w:r>
          </w:p>
        </w:tc>
        <w:tc>
          <w:tcPr>
            <w:tcW w:type="dxa" w:w="6408"/>
            <w:shd w:fill="F6F8F6"/>
            <w:vAlign w:val="top"/>
            <w:tcBorders>
              <w:bottom w:val="single" w:sz="3" w:color="DDE5DF"/>
            </w:tcBorders>
          </w:tcPr>
          <w:p>
            <w:pPr>
              <w:spacing w:after="0"/>
            </w:pPr>
            <w:r>
              <w:rPr>
                <w:sz w:val="16"/>
              </w:rPr>
              <w:t>IP address, browser and device information, pages viewed, timestamps, form activity, visitor identifiers, cookie choices and similar technical information, subject to applicable consent requirements.</w:t>
            </w:r>
          </w:p>
        </w:tc>
      </w:tr>
      <w:tr>
        <w:tc>
          <w:tcPr>
            <w:tcW w:type="dxa" w:w="2952"/>
            <w:shd w:fill="FFFFFF"/>
            <w:vAlign w:val="top"/>
            <w:tcBorders>
              <w:bottom w:val="single" w:sz="3" w:color="DDE5DF"/>
            </w:tcBorders>
          </w:tcPr>
          <w:p>
            <w:pPr>
              <w:spacing w:after="0"/>
            </w:pPr>
            <w:r>
              <w:rPr>
                <w:b/>
                <w:color w:val="234B38"/>
                <w:sz w:val="16"/>
              </w:rPr>
              <w:t>Marketing and reviews</w:t>
            </w:r>
          </w:p>
        </w:tc>
        <w:tc>
          <w:tcPr>
            <w:tcW w:type="dxa" w:w="6408"/>
            <w:shd w:fill="FFFFFF"/>
            <w:vAlign w:val="top"/>
            <w:tcBorders>
              <w:bottom w:val="single" w:sz="3" w:color="DDE5DF"/>
            </w:tcBorders>
          </w:tcPr>
          <w:p>
            <w:pPr>
              <w:spacing w:after="0"/>
            </w:pPr>
            <w:r>
              <w:rPr>
                <w:sz w:val="16"/>
              </w:rPr>
              <w:t>Marketing preferences, enquiries about offers, feedback, testimonials and permission to use identifiable media for promotional purposes.</w:t>
            </w:r>
          </w:p>
        </w:tc>
      </w:tr>
    </w:tbl>
    <w:p>
      <w:pPr>
        <w:spacing w:after="0"/>
      </w:pPr>
    </w:p>
    <w:p>
      <w:r>
        <w:t>Please do not send us unnecessary sensitive personal information. If health, disability or other sensitive information is genuinely needed for safety or reasonable adjustments, we will use only what is necessary and handle it with additional care.</w:t>
      </w:r>
    </w:p>
    <w:p>
      <w:pPr>
        <w:pStyle w:val="Heading1"/>
      </w:pPr>
      <w:r>
        <w:t>4. Where information comes from</w:t>
      </w:r>
    </w:p>
    <w:p>
      <w:pPr>
        <w:pStyle w:val="ListBullet"/>
        <w:spacing w:after="50"/>
      </w:pPr>
      <w:r>
        <w:t>Directly from you through WhatsApp, telephone, email, website forms, social media or in person.</w:t>
      </w:r>
    </w:p>
    <w:p>
      <w:pPr>
        <w:pStyle w:val="ListBullet"/>
        <w:spacing w:after="50"/>
      </w:pPr>
      <w:r>
        <w:t>From a person acting for you, such as a landlord, tenant, family member, managing agent, contractor or authorised representative.</w:t>
      </w:r>
    </w:p>
    <w:p>
      <w:pPr>
        <w:pStyle w:val="ListBullet"/>
        <w:spacing w:after="50"/>
      </w:pPr>
      <w:r>
        <w:t>From our workers, subcontractors, disposal partners, payment providers, insurers or professional advisers when they create or supply records connected with a job.</w:t>
      </w:r>
    </w:p>
    <w:p>
      <w:pPr>
        <w:pStyle w:val="ListBullet"/>
        <w:spacing w:after="50"/>
      </w:pPr>
      <w:r>
        <w:t>From public or regulatory sources where reasonably necessary to verify a business, address, authority, registration or legal requirement.</w:t>
      </w:r>
    </w:p>
    <w:p>
      <w:pPr>
        <w:pStyle w:val="ListBullet"/>
        <w:spacing w:after="50"/>
      </w:pPr>
      <w:r>
        <w:t>Automatically from the website or hosting platform, depending on your cookie choices and the website configuration.</w:t>
      </w:r>
    </w:p>
    <w:p>
      <w:pPr>
        <w:pStyle w:val="Heading1"/>
      </w:pPr>
      <w:r>
        <w:t>5. Why we use information and our lawful bases</w:t>
      </w:r>
    </w:p>
    <w:tbl>
      <w:tblPr>
        <w:tblW w:type="auto" w:w="0"/>
        <w:jc w:val="center"/>
        <w:tblLayout w:type="fixed"/>
        <w:tblLook w:firstColumn="1" w:firstRow="1" w:lastColumn="0" w:lastRow="0" w:noHBand="0" w:noVBand="1" w:val="04A0"/>
      </w:tblPr>
      <w:tblGrid>
        <w:gridCol w:w="3456"/>
        <w:gridCol w:w="5904"/>
      </w:tblGrid>
      <w:tr>
        <w:trPr>
          <w:tblHeader w:val="true"/>
        </w:trPr>
        <w:tc>
          <w:tcPr>
            <w:tcW w:type="dxa" w:w="4997"/>
            <w:shd w:fill="0B1612"/>
          </w:tcPr>
          <w:p>
            <w:pPr>
              <w:spacing w:after="0"/>
            </w:pPr>
            <w:r>
              <w:rPr>
                <w:b/>
                <w:color w:val="FFFFFF"/>
                <w:sz w:val="15"/>
              </w:rPr>
              <w:t>Purpose</w:t>
            </w:r>
          </w:p>
        </w:tc>
        <w:tc>
          <w:tcPr>
            <w:tcW w:type="dxa" w:w="4997"/>
            <w:shd w:fill="0B1612"/>
          </w:tcPr>
          <w:p>
            <w:pPr>
              <w:spacing w:after="0"/>
            </w:pPr>
            <w:r>
              <w:rPr>
                <w:b/>
                <w:color w:val="FFFFFF"/>
                <w:sz w:val="15"/>
              </w:rPr>
              <w:t>Lawful basis normally relied on</w:t>
            </w:r>
          </w:p>
        </w:tc>
      </w:tr>
      <w:tr>
        <w:tc>
          <w:tcPr>
            <w:tcW w:type="dxa" w:w="3456"/>
            <w:shd w:fill="FFFFFF"/>
            <w:vAlign w:val="top"/>
            <w:tcBorders>
              <w:bottom w:val="single" w:sz="3" w:color="DDE5DF"/>
            </w:tcBorders>
          </w:tcPr>
          <w:p>
            <w:pPr>
              <w:spacing w:after="0"/>
            </w:pPr>
            <w:r>
              <w:rPr>
                <w:b/>
                <w:color w:val="234B38"/>
                <w:sz w:val="15"/>
              </w:rPr>
              <w:t>Responding to enquiries and preparing quotes</w:t>
            </w:r>
          </w:p>
        </w:tc>
        <w:tc>
          <w:tcPr>
            <w:tcW w:type="dxa" w:w="5904"/>
            <w:shd w:fill="FFFFFF"/>
            <w:vAlign w:val="top"/>
            <w:tcBorders>
              <w:bottom w:val="single" w:sz="3" w:color="DDE5DF"/>
            </w:tcBorders>
          </w:tcPr>
          <w:p>
            <w:pPr>
              <w:spacing w:after="0"/>
            </w:pPr>
            <w:r>
              <w:rPr>
                <w:sz w:val="15"/>
              </w:rPr>
              <w:t>Taking steps at your request before entering into a contract; legitimate interests in managing enquiries and preventing misuse.</w:t>
            </w:r>
          </w:p>
        </w:tc>
      </w:tr>
      <w:tr>
        <w:tc>
          <w:tcPr>
            <w:tcW w:type="dxa" w:w="3456"/>
            <w:shd w:fill="F6F8F6"/>
            <w:vAlign w:val="top"/>
            <w:tcBorders>
              <w:bottom w:val="single" w:sz="3" w:color="DDE5DF"/>
            </w:tcBorders>
          </w:tcPr>
          <w:p>
            <w:pPr>
              <w:spacing w:after="0"/>
            </w:pPr>
            <w:r>
              <w:rPr>
                <w:b/>
                <w:color w:val="234B38"/>
                <w:sz w:val="15"/>
              </w:rPr>
              <w:t>Confirming, scheduling and performing services</w:t>
            </w:r>
          </w:p>
        </w:tc>
        <w:tc>
          <w:tcPr>
            <w:tcW w:type="dxa" w:w="5904"/>
            <w:shd w:fill="F6F8F6"/>
            <w:vAlign w:val="top"/>
            <w:tcBorders>
              <w:bottom w:val="single" w:sz="3" w:color="DDE5DF"/>
            </w:tcBorders>
          </w:tcPr>
          <w:p>
            <w:pPr>
              <w:spacing w:after="0"/>
            </w:pPr>
            <w:r>
              <w:rPr>
                <w:sz w:val="15"/>
              </w:rPr>
              <w:t>Performance of a contract, including the WhatsApp booking record, access arrangements, variations and completion.</w:t>
            </w:r>
          </w:p>
        </w:tc>
      </w:tr>
      <w:tr>
        <w:tc>
          <w:tcPr>
            <w:tcW w:type="dxa" w:w="3456"/>
            <w:shd w:fill="FFFFFF"/>
            <w:vAlign w:val="top"/>
            <w:tcBorders>
              <w:bottom w:val="single" w:sz="3" w:color="DDE5DF"/>
            </w:tcBorders>
          </w:tcPr>
          <w:p>
            <w:pPr>
              <w:spacing w:after="0"/>
            </w:pPr>
            <w:r>
              <w:rPr>
                <w:b/>
                <w:color w:val="234B38"/>
                <w:sz w:val="15"/>
              </w:rPr>
              <w:t>Taking payment, invoicing and managing refunds or debts</w:t>
            </w:r>
          </w:p>
        </w:tc>
        <w:tc>
          <w:tcPr>
            <w:tcW w:type="dxa" w:w="5904"/>
            <w:shd w:fill="FFFFFF"/>
            <w:vAlign w:val="top"/>
            <w:tcBorders>
              <w:bottom w:val="single" w:sz="3" w:color="DDE5DF"/>
            </w:tcBorders>
          </w:tcPr>
          <w:p>
            <w:pPr>
              <w:spacing w:after="0"/>
            </w:pPr>
            <w:r>
              <w:rPr>
                <w:sz w:val="15"/>
              </w:rPr>
              <w:t>Performance of a contract; legal obligations for accounting and tax; legitimate interests in recovering valid sums and preventing fraud.</w:t>
            </w:r>
          </w:p>
        </w:tc>
      </w:tr>
      <w:tr>
        <w:tc>
          <w:tcPr>
            <w:tcW w:type="dxa" w:w="3456"/>
            <w:shd w:fill="F6F8F6"/>
            <w:vAlign w:val="top"/>
            <w:tcBorders>
              <w:bottom w:val="single" w:sz="3" w:color="DDE5DF"/>
            </w:tcBorders>
          </w:tcPr>
          <w:p>
            <w:pPr>
              <w:spacing w:after="0"/>
            </w:pPr>
            <w:r>
              <w:rPr>
                <w:b/>
                <w:color w:val="234B38"/>
                <w:sz w:val="15"/>
              </w:rPr>
              <w:t>Managing waste and regulatory records</w:t>
            </w:r>
          </w:p>
        </w:tc>
        <w:tc>
          <w:tcPr>
            <w:tcW w:type="dxa" w:w="5904"/>
            <w:shd w:fill="F6F8F6"/>
            <w:vAlign w:val="top"/>
            <w:tcBorders>
              <w:bottom w:val="single" w:sz="3" w:color="DDE5DF"/>
            </w:tcBorders>
          </w:tcPr>
          <w:p>
            <w:pPr>
              <w:spacing w:after="0"/>
            </w:pPr>
            <w:r>
              <w:rPr>
                <w:sz w:val="15"/>
              </w:rPr>
              <w:t>Legal obligations and legitimate interests in demonstrating lawful handling, transport and disposal.</w:t>
            </w:r>
          </w:p>
        </w:tc>
      </w:tr>
      <w:tr>
        <w:tc>
          <w:tcPr>
            <w:tcW w:type="dxa" w:w="3456"/>
            <w:shd w:fill="FFFFFF"/>
            <w:vAlign w:val="top"/>
            <w:tcBorders>
              <w:bottom w:val="single" w:sz="3" w:color="DDE5DF"/>
            </w:tcBorders>
          </w:tcPr>
          <w:p>
            <w:pPr>
              <w:spacing w:after="0"/>
            </w:pPr>
            <w:r>
              <w:rPr>
                <w:b/>
                <w:color w:val="234B38"/>
                <w:sz w:val="15"/>
              </w:rPr>
              <w:t>Site safety, property-condition evidence and incident handling</w:t>
            </w:r>
          </w:p>
        </w:tc>
        <w:tc>
          <w:tcPr>
            <w:tcW w:type="dxa" w:w="5904"/>
            <w:shd w:fill="FFFFFF"/>
            <w:vAlign w:val="top"/>
            <w:tcBorders>
              <w:bottom w:val="single" w:sz="3" w:color="DDE5DF"/>
            </w:tcBorders>
          </w:tcPr>
          <w:p>
            <w:pPr>
              <w:spacing w:after="0"/>
            </w:pPr>
            <w:r>
              <w:rPr>
                <w:sz w:val="15"/>
              </w:rPr>
              <w:t>Legal obligations; legitimate interests in protecting people, property and the business, and establishing, exercising or defending legal claims.</w:t>
            </w:r>
          </w:p>
        </w:tc>
      </w:tr>
      <w:tr>
        <w:tc>
          <w:tcPr>
            <w:tcW w:type="dxa" w:w="3456"/>
            <w:shd w:fill="F6F8F6"/>
            <w:vAlign w:val="top"/>
            <w:tcBorders>
              <w:bottom w:val="single" w:sz="3" w:color="DDE5DF"/>
            </w:tcBorders>
          </w:tcPr>
          <w:p>
            <w:pPr>
              <w:spacing w:after="0"/>
            </w:pPr>
            <w:r>
              <w:rPr>
                <w:b/>
                <w:color w:val="234B38"/>
                <w:sz w:val="15"/>
              </w:rPr>
              <w:t>Complaints, customer service and dispute resolution</w:t>
            </w:r>
          </w:p>
        </w:tc>
        <w:tc>
          <w:tcPr>
            <w:tcW w:type="dxa" w:w="5904"/>
            <w:shd w:fill="F6F8F6"/>
            <w:vAlign w:val="top"/>
            <w:tcBorders>
              <w:bottom w:val="single" w:sz="3" w:color="DDE5DF"/>
            </w:tcBorders>
          </w:tcPr>
          <w:p>
            <w:pPr>
              <w:spacing w:after="0"/>
            </w:pPr>
            <w:r>
              <w:rPr>
                <w:sz w:val="15"/>
              </w:rPr>
              <w:t>Performance of a contract; legal obligations; legitimate interests in investigating and resolving issues fairly.</w:t>
            </w:r>
          </w:p>
        </w:tc>
      </w:tr>
      <w:tr>
        <w:tc>
          <w:tcPr>
            <w:tcW w:type="dxa" w:w="3456"/>
            <w:shd w:fill="FFFFFF"/>
            <w:vAlign w:val="top"/>
            <w:tcBorders>
              <w:bottom w:val="single" w:sz="3" w:color="DDE5DF"/>
            </w:tcBorders>
          </w:tcPr>
          <w:p>
            <w:pPr>
              <w:spacing w:after="0"/>
            </w:pPr>
            <w:r>
              <w:rPr>
                <w:b/>
                <w:color w:val="234B38"/>
                <w:sz w:val="15"/>
              </w:rPr>
              <w:t>Business administration, service improvement and security</w:t>
            </w:r>
          </w:p>
        </w:tc>
        <w:tc>
          <w:tcPr>
            <w:tcW w:type="dxa" w:w="5904"/>
            <w:shd w:fill="FFFFFF"/>
            <w:vAlign w:val="top"/>
            <w:tcBorders>
              <w:bottom w:val="single" w:sz="3" w:color="DDE5DF"/>
            </w:tcBorders>
          </w:tcPr>
          <w:p>
            <w:pPr>
              <w:spacing w:after="0"/>
            </w:pPr>
            <w:r>
              <w:rPr>
                <w:sz w:val="15"/>
              </w:rPr>
              <w:t>Legitimate interests in operating efficiently, training workers, maintaining systems, measuring service quality and protecting against fraud or cyber risk.</w:t>
            </w:r>
          </w:p>
        </w:tc>
      </w:tr>
      <w:tr>
        <w:tc>
          <w:tcPr>
            <w:tcW w:type="dxa" w:w="3456"/>
            <w:shd w:fill="F6F8F6"/>
            <w:vAlign w:val="top"/>
            <w:tcBorders>
              <w:bottom w:val="single" w:sz="3" w:color="DDE5DF"/>
            </w:tcBorders>
          </w:tcPr>
          <w:p>
            <w:pPr>
              <w:spacing w:after="0"/>
            </w:pPr>
            <w:r>
              <w:rPr>
                <w:b/>
                <w:color w:val="234B38"/>
                <w:sz w:val="15"/>
              </w:rPr>
              <w:t>Direct marketing</w:t>
            </w:r>
          </w:p>
        </w:tc>
        <w:tc>
          <w:tcPr>
            <w:tcW w:type="dxa" w:w="5904"/>
            <w:shd w:fill="F6F8F6"/>
            <w:vAlign w:val="top"/>
            <w:tcBorders>
              <w:bottom w:val="single" w:sz="3" w:color="DDE5DF"/>
            </w:tcBorders>
          </w:tcPr>
          <w:p>
            <w:pPr>
              <w:spacing w:after="0"/>
            </w:pPr>
            <w:r>
              <w:rPr>
                <w:sz w:val="15"/>
              </w:rPr>
              <w:t>Consent where required, or another lawful route permitted by electronic-marketing law. You can object or unsubscribe at any time.</w:t>
            </w:r>
          </w:p>
        </w:tc>
      </w:tr>
      <w:tr>
        <w:tc>
          <w:tcPr>
            <w:tcW w:type="dxa" w:w="3456"/>
            <w:shd w:fill="FFFFFF"/>
            <w:vAlign w:val="top"/>
            <w:tcBorders>
              <w:bottom w:val="single" w:sz="3" w:color="DDE5DF"/>
            </w:tcBorders>
          </w:tcPr>
          <w:p>
            <w:pPr>
              <w:spacing w:after="0"/>
            </w:pPr>
            <w:r>
              <w:rPr>
                <w:b/>
                <w:color w:val="234B38"/>
                <w:sz w:val="15"/>
              </w:rPr>
              <w:t>Non-essential cookies and similar technologies</w:t>
            </w:r>
          </w:p>
        </w:tc>
        <w:tc>
          <w:tcPr>
            <w:tcW w:type="dxa" w:w="5904"/>
            <w:shd w:fill="FFFFFF"/>
            <w:vAlign w:val="top"/>
            <w:tcBorders>
              <w:bottom w:val="single" w:sz="3" w:color="DDE5DF"/>
            </w:tcBorders>
          </w:tcPr>
          <w:p>
            <w:pPr>
              <w:spacing w:after="0"/>
            </w:pPr>
            <w:r>
              <w:rPr>
                <w:sz w:val="15"/>
              </w:rPr>
              <w:t>Consent, where consent is required. Strictly necessary technologies are used as permitted to provide or secure the service you request.</w:t>
            </w:r>
          </w:p>
        </w:tc>
      </w:tr>
    </w:tbl>
    <w:p>
      <w:pPr>
        <w:spacing w:after="0"/>
      </w:pPr>
    </w:p>
    <w:p>
      <w:r>
        <w:t>Where we rely on legitimate interests, we consider the purpose, necessity and impact on individuals. We do not rely on legitimate interests where your rights and interests override ours.</w:t>
      </w:r>
    </w:p>
    <w:p>
      <w:pPr>
        <w:pStyle w:val="Heading1"/>
      </w:pPr>
      <w:r>
        <w:t>6. WhatsApp booking and communication records</w:t>
      </w:r>
    </w:p>
    <w:p>
      <w:pPr>
        <w:pStyle w:val="ListBullet"/>
        <w:spacing w:after="50"/>
      </w:pPr>
      <w:r>
        <w:t>WhatsApp is our normal booking and scheduling channel. We may use the chat to record the quote, scope, price, date, access information, acceptance, changes, cancellation, payment notices, photographs, completion and any issue raised.</w:t>
      </w:r>
    </w:p>
    <w:p>
      <w:pPr>
        <w:pStyle w:val="ListBullet"/>
        <w:spacing w:after="50"/>
      </w:pPr>
      <w:r>
        <w:t>We keep relevant chats and attachments as a durable operational and contractual record. Messages that are not connected to a booking may be deleted sooner under the retention periods below.</w:t>
      </w:r>
    </w:p>
    <w:p>
      <w:pPr>
        <w:pStyle w:val="ListBullet"/>
        <w:spacing w:after="50"/>
      </w:pPr>
      <w:r>
        <w:t>WhatsApp and Meta provide the messaging service and process information under their own terms and privacy information. Their systems may process information outside the UK.</w:t>
      </w:r>
    </w:p>
    <w:p>
      <w:pPr>
        <w:pStyle w:val="ListBullet"/>
        <w:spacing w:after="50"/>
      </w:pPr>
      <w:r>
        <w:t>Do not send unnecessary identity documents, bank-card details, medical details or other highly sensitive information through WhatsApp.</w:t>
      </w:r>
    </w:p>
    <w:p>
      <w:pPr>
        <w:pStyle w:val="ListBullet"/>
        <w:spacing w:after="50"/>
      </w:pPr>
      <w:r>
        <w:t>Telephone calls are not routinely recorded. Important verbal points may be summarised in the WhatsApp chat so both parties have a written record.</w:t>
      </w:r>
    </w:p>
    <w:p>
      <w:pPr>
        <w:pStyle w:val="Heading1"/>
      </w:pPr>
      <w:r>
        <w:t>7. Photographs and video</w:t>
      </w:r>
    </w:p>
    <w:p>
      <w:r>
        <w:t>Photographs and video may be used to assess a quote, identify waste, plan access, record site condition, show progress or completion, support safety, investigate complaints and establish or defend claims. We try to avoid recording people, documents, vehicle registrations and private areas that are not relevant to the job.</w:t>
      </w:r>
    </w:p>
    <w:p>
      <w:r>
        <w:t>We will not normally publish identifiable customer property, faces, addresses or vehicle registrations for advertising without a lawful basis and any permission required. Permission for future marketing use can be withdrawn, although this does not make earlier lawful use unlawful.</w:t>
      </w:r>
    </w:p>
    <w:p>
      <w:pPr>
        <w:pStyle w:val="Heading1"/>
      </w:pPr>
      <w:r>
        <w:t>8. Who we may share information with</w:t>
      </w:r>
    </w:p>
    <w:p>
      <w:pPr>
        <w:pStyle w:val="ListBullet"/>
        <w:spacing w:after="50"/>
      </w:pPr>
      <w:r>
        <w:t>Workers, authorised subcontractors and site teams who need the information to provide the service safely.</w:t>
      </w:r>
    </w:p>
    <w:p>
      <w:pPr>
        <w:pStyle w:val="ListBullet"/>
        <w:spacing w:after="50"/>
      </w:pPr>
      <w:r>
        <w:t>Licensed or authorised waste carriers, recycling centres, transfer stations, disposal sites and other environmental service providers.</w:t>
      </w:r>
    </w:p>
    <w:p>
      <w:pPr>
        <w:pStyle w:val="ListBullet"/>
        <w:spacing w:after="50"/>
      </w:pPr>
      <w:r>
        <w:t>Website, hosting, form, customer-management and communications providers, including HubSpot where used, and WhatsApp/Meta for messaging.</w:t>
      </w:r>
    </w:p>
    <w:p>
      <w:pPr>
        <w:pStyle w:val="ListBullet"/>
        <w:spacing w:after="50"/>
      </w:pPr>
      <w:r>
        <w:t>Banks, payment processors and payment-service providers used to receive payments or issue refunds.</w:t>
      </w:r>
    </w:p>
    <w:p>
      <w:pPr>
        <w:pStyle w:val="ListBullet"/>
        <w:spacing w:after="50"/>
      </w:pPr>
      <w:r>
        <w:t>Accountants, insurers, solicitors, claims handlers, debt-recovery providers and other professional advisers.</w:t>
      </w:r>
    </w:p>
    <w:p>
      <w:pPr>
        <w:pStyle w:val="ListBullet"/>
        <w:spacing w:after="50"/>
      </w:pPr>
      <w:r>
        <w:t>Main contractors, managing agents, landlords, property representatives or commercial clients where the job requires it and sharing is lawful.</w:t>
      </w:r>
    </w:p>
    <w:p>
      <w:pPr>
        <w:pStyle w:val="ListBullet"/>
        <w:spacing w:after="50"/>
      </w:pPr>
      <w:r>
        <w:t>Police, courts, regulators, local authorities, HMRC, the Environment Agency or other public bodies where disclosure is required or lawfully justified.</w:t>
      </w:r>
    </w:p>
    <w:p>
      <w:pPr>
        <w:pStyle w:val="ListBullet"/>
        <w:spacing w:after="50"/>
      </w:pPr>
      <w:r>
        <w:t>A buyer, investor or adviser involved in a genuine business sale, reorganisation or due-diligence process, subject to confidentiality and lawful safeguards.</w:t>
      </w:r>
    </w:p>
    <w:p>
      <w:r>
        <w:t>We do not sell personal information or allow third parties to use customer information for their own unrelated marketing.</w:t>
      </w:r>
    </w:p>
    <w:p>
      <w:pPr>
        <w:pStyle w:val="Heading1"/>
      </w:pPr>
      <w:r>
        <w:t>9. International processing</w:t>
      </w:r>
    </w:p>
    <w:p>
      <w:r>
        <w:t>Some technology and communications providers may store or process information outside the United Kingdom. Where UK data-protection law requires safeguards, we use providers and arrangements that rely on an applicable adequacy regulation, approved contractual safeguards such as the UK International Data Transfer Agreement or UK Addendum, or another lawful transfer mechanism. You may contact us for further information about relevant safeguards.</w:t>
      </w:r>
    </w:p>
    <w:p>
      <w:pPr>
        <w:pStyle w:val="Heading1"/>
      </w:pPr>
      <w:r>
        <w:t>10. How long we keep information</w:t>
      </w:r>
    </w:p>
    <w:tbl>
      <w:tblPr>
        <w:tblW w:type="auto" w:w="0"/>
        <w:jc w:val="center"/>
        <w:tblLayout w:type="fixed"/>
        <w:tblLook w:firstColumn="1" w:firstRow="1" w:lastColumn="0" w:lastRow="0" w:noHBand="0" w:noVBand="1" w:val="04A0"/>
      </w:tblPr>
      <w:tblGrid>
        <w:gridCol w:w="3600"/>
        <w:gridCol w:w="5760"/>
      </w:tblGrid>
      <w:tr>
        <w:trPr>
          <w:tblHeader w:val="true"/>
        </w:trPr>
        <w:tc>
          <w:tcPr>
            <w:tcW w:type="dxa" w:w="4997"/>
            <w:shd w:fill="0B1612"/>
          </w:tcPr>
          <w:p>
            <w:pPr>
              <w:spacing w:after="0"/>
            </w:pPr>
            <w:r>
              <w:rPr>
                <w:b/>
                <w:color w:val="FFFFFF"/>
                <w:sz w:val="15"/>
              </w:rPr>
              <w:t>Record type</w:t>
            </w:r>
          </w:p>
        </w:tc>
        <w:tc>
          <w:tcPr>
            <w:tcW w:type="dxa" w:w="4997"/>
            <w:shd w:fill="0B1612"/>
          </w:tcPr>
          <w:p>
            <w:pPr>
              <w:spacing w:after="0"/>
            </w:pPr>
            <w:r>
              <w:rPr>
                <w:b/>
                <w:color w:val="FFFFFF"/>
                <w:sz w:val="15"/>
              </w:rPr>
              <w:t>Normal retention approach</w:t>
            </w:r>
          </w:p>
        </w:tc>
      </w:tr>
      <w:tr>
        <w:tc>
          <w:tcPr>
            <w:tcW w:type="dxa" w:w="3600"/>
            <w:shd w:fill="FFFFFF"/>
            <w:vAlign w:val="top"/>
            <w:tcBorders>
              <w:bottom w:val="single" w:sz="3" w:color="DDE5DF"/>
            </w:tcBorders>
          </w:tcPr>
          <w:p>
            <w:pPr>
              <w:spacing w:after="0"/>
            </w:pPr>
            <w:r>
              <w:rPr>
                <w:b/>
                <w:color w:val="234B38"/>
                <w:sz w:val="15"/>
              </w:rPr>
              <w:t>Enquiries that do not become bookings</w:t>
            </w:r>
          </w:p>
        </w:tc>
        <w:tc>
          <w:tcPr>
            <w:tcW w:type="dxa" w:w="5760"/>
            <w:shd w:fill="FFFFFF"/>
            <w:vAlign w:val="top"/>
            <w:tcBorders>
              <w:bottom w:val="single" w:sz="3" w:color="DDE5DF"/>
            </w:tcBorders>
          </w:tcPr>
          <w:p>
            <w:pPr>
              <w:spacing w:after="0"/>
            </w:pPr>
            <w:r>
              <w:rPr>
                <w:sz w:val="15"/>
              </w:rPr>
              <w:t>Normally up to 12 months after the last meaningful contact, unless needed for a complaint, fraud prevention or legal reason.</w:t>
            </w:r>
          </w:p>
        </w:tc>
      </w:tr>
      <w:tr>
        <w:tc>
          <w:tcPr>
            <w:tcW w:type="dxa" w:w="3600"/>
            <w:shd w:fill="F6F8F6"/>
            <w:vAlign w:val="top"/>
            <w:tcBorders>
              <w:bottom w:val="single" w:sz="3" w:color="DDE5DF"/>
            </w:tcBorders>
          </w:tcPr>
          <w:p>
            <w:pPr>
              <w:spacing w:after="0"/>
            </w:pPr>
            <w:r>
              <w:rPr>
                <w:b/>
                <w:color w:val="234B38"/>
                <w:sz w:val="15"/>
              </w:rPr>
              <w:t>Quote photographs or video where no job is booked</w:t>
            </w:r>
          </w:p>
        </w:tc>
        <w:tc>
          <w:tcPr>
            <w:tcW w:type="dxa" w:w="5760"/>
            <w:shd w:fill="F6F8F6"/>
            <w:vAlign w:val="top"/>
            <w:tcBorders>
              <w:bottom w:val="single" w:sz="3" w:color="DDE5DF"/>
            </w:tcBorders>
          </w:tcPr>
          <w:p>
            <w:pPr>
              <w:spacing w:after="0"/>
            </w:pPr>
            <w:r>
              <w:rPr>
                <w:sz w:val="15"/>
              </w:rPr>
              <w:t>Normally up to 12 months, with earlier deletion where no longer useful.</w:t>
            </w:r>
          </w:p>
        </w:tc>
      </w:tr>
      <w:tr>
        <w:tc>
          <w:tcPr>
            <w:tcW w:type="dxa" w:w="3600"/>
            <w:shd w:fill="FFFFFF"/>
            <w:vAlign w:val="top"/>
            <w:tcBorders>
              <w:bottom w:val="single" w:sz="3" w:color="DDE5DF"/>
            </w:tcBorders>
          </w:tcPr>
          <w:p>
            <w:pPr>
              <w:spacing w:after="0"/>
            </w:pPr>
            <w:r>
              <w:rPr>
                <w:b/>
                <w:color w:val="234B38"/>
                <w:sz w:val="15"/>
              </w:rPr>
              <w:t>Confirmed booking, WhatsApp record, contract, invoice and payment records</w:t>
            </w:r>
          </w:p>
        </w:tc>
        <w:tc>
          <w:tcPr>
            <w:tcW w:type="dxa" w:w="5760"/>
            <w:shd w:fill="FFFFFF"/>
            <w:vAlign w:val="top"/>
            <w:tcBorders>
              <w:bottom w:val="single" w:sz="3" w:color="DDE5DF"/>
            </w:tcBorders>
          </w:tcPr>
          <w:p>
            <w:pPr>
              <w:spacing w:after="0"/>
            </w:pPr>
            <w:r>
              <w:rPr>
                <w:sz w:val="15"/>
              </w:rPr>
              <w:t>Normally six years after completion, or longer where accounting-period, tax, legal or claim requirements make this necessary.</w:t>
            </w:r>
          </w:p>
        </w:tc>
      </w:tr>
      <w:tr>
        <w:tc>
          <w:tcPr>
            <w:tcW w:type="dxa" w:w="3600"/>
            <w:shd w:fill="F6F8F6"/>
            <w:vAlign w:val="top"/>
            <w:tcBorders>
              <w:bottom w:val="single" w:sz="3" w:color="DDE5DF"/>
            </w:tcBorders>
          </w:tcPr>
          <w:p>
            <w:pPr>
              <w:spacing w:after="0"/>
            </w:pPr>
            <w:r>
              <w:rPr>
                <w:b/>
                <w:color w:val="234B38"/>
                <w:sz w:val="15"/>
              </w:rPr>
              <w:t>Job photographs, video and condition evidence</w:t>
            </w:r>
          </w:p>
        </w:tc>
        <w:tc>
          <w:tcPr>
            <w:tcW w:type="dxa" w:w="5760"/>
            <w:shd w:fill="F6F8F6"/>
            <w:vAlign w:val="top"/>
            <w:tcBorders>
              <w:bottom w:val="single" w:sz="3" w:color="DDE5DF"/>
            </w:tcBorders>
          </w:tcPr>
          <w:p>
            <w:pPr>
              <w:spacing w:after="0"/>
            </w:pPr>
            <w:r>
              <w:rPr>
                <w:sz w:val="15"/>
              </w:rPr>
              <w:t>Kept with the job record where reasonably needed, normally up to six years; deleted earlier where they are no longer necessary.</w:t>
            </w:r>
          </w:p>
        </w:tc>
      </w:tr>
      <w:tr>
        <w:tc>
          <w:tcPr>
            <w:tcW w:type="dxa" w:w="3600"/>
            <w:shd w:fill="FFFFFF"/>
            <w:vAlign w:val="top"/>
            <w:tcBorders>
              <w:bottom w:val="single" w:sz="3" w:color="DDE5DF"/>
            </w:tcBorders>
          </w:tcPr>
          <w:p>
            <w:pPr>
              <w:spacing w:after="0"/>
            </w:pPr>
            <w:r>
              <w:rPr>
                <w:b/>
                <w:color w:val="234B38"/>
                <w:sz w:val="15"/>
              </w:rPr>
              <w:t>Non-hazardous waste transfer information</w:t>
            </w:r>
          </w:p>
        </w:tc>
        <w:tc>
          <w:tcPr>
            <w:tcW w:type="dxa" w:w="5760"/>
            <w:shd w:fill="FFFFFF"/>
            <w:vAlign w:val="top"/>
            <w:tcBorders>
              <w:bottom w:val="single" w:sz="3" w:color="DDE5DF"/>
            </w:tcBorders>
          </w:tcPr>
          <w:p>
            <w:pPr>
              <w:spacing w:after="0"/>
            </w:pPr>
            <w:r>
              <w:rPr>
                <w:sz w:val="15"/>
              </w:rPr>
              <w:t>At least two years, and longer where another legal, contract or accounting reason applies.</w:t>
            </w:r>
          </w:p>
        </w:tc>
      </w:tr>
      <w:tr>
        <w:tc>
          <w:tcPr>
            <w:tcW w:type="dxa" w:w="3600"/>
            <w:shd w:fill="F6F8F6"/>
            <w:vAlign w:val="top"/>
            <w:tcBorders>
              <w:bottom w:val="single" w:sz="3" w:color="DDE5DF"/>
            </w:tcBorders>
          </w:tcPr>
          <w:p>
            <w:pPr>
              <w:spacing w:after="0"/>
            </w:pPr>
            <w:r>
              <w:rPr>
                <w:b/>
                <w:color w:val="234B38"/>
                <w:sz w:val="15"/>
              </w:rPr>
              <w:t>Hazardous or specialist waste records</w:t>
            </w:r>
          </w:p>
        </w:tc>
        <w:tc>
          <w:tcPr>
            <w:tcW w:type="dxa" w:w="5760"/>
            <w:shd w:fill="F6F8F6"/>
            <w:vAlign w:val="top"/>
            <w:tcBorders>
              <w:bottom w:val="single" w:sz="3" w:color="DDE5DF"/>
            </w:tcBorders>
          </w:tcPr>
          <w:p>
            <w:pPr>
              <w:spacing w:after="0"/>
            </w:pPr>
            <w:r>
              <w:rPr>
                <w:sz w:val="15"/>
              </w:rPr>
              <w:t>For the period required by law for our role and the particular record.</w:t>
            </w:r>
          </w:p>
        </w:tc>
      </w:tr>
      <w:tr>
        <w:tc>
          <w:tcPr>
            <w:tcW w:type="dxa" w:w="3600"/>
            <w:shd w:fill="FFFFFF"/>
            <w:vAlign w:val="top"/>
            <w:tcBorders>
              <w:bottom w:val="single" w:sz="3" w:color="DDE5DF"/>
            </w:tcBorders>
          </w:tcPr>
          <w:p>
            <w:pPr>
              <w:spacing w:after="0"/>
            </w:pPr>
            <w:r>
              <w:rPr>
                <w:b/>
                <w:color w:val="234B38"/>
                <w:sz w:val="15"/>
              </w:rPr>
              <w:t>Complaints, incidents, insurance and legal claims</w:t>
            </w:r>
          </w:p>
        </w:tc>
        <w:tc>
          <w:tcPr>
            <w:tcW w:type="dxa" w:w="5760"/>
            <w:shd w:fill="FFFFFF"/>
            <w:vAlign w:val="top"/>
            <w:tcBorders>
              <w:bottom w:val="single" w:sz="3" w:color="DDE5DF"/>
            </w:tcBorders>
          </w:tcPr>
          <w:p>
            <w:pPr>
              <w:spacing w:after="0"/>
            </w:pPr>
            <w:r>
              <w:rPr>
                <w:sz w:val="15"/>
              </w:rPr>
              <w:t>Normally six years after closure, and longer where proceedings, limitation periods or insurer requirements apply.</w:t>
            </w:r>
          </w:p>
        </w:tc>
      </w:tr>
      <w:tr>
        <w:tc>
          <w:tcPr>
            <w:tcW w:type="dxa" w:w="3600"/>
            <w:shd w:fill="F6F8F6"/>
            <w:vAlign w:val="top"/>
            <w:tcBorders>
              <w:bottom w:val="single" w:sz="3" w:color="DDE5DF"/>
            </w:tcBorders>
          </w:tcPr>
          <w:p>
            <w:pPr>
              <w:spacing w:after="0"/>
            </w:pPr>
            <w:r>
              <w:rPr>
                <w:b/>
                <w:color w:val="234B38"/>
                <w:sz w:val="15"/>
              </w:rPr>
              <w:t>Marketing preferences</w:t>
            </w:r>
          </w:p>
        </w:tc>
        <w:tc>
          <w:tcPr>
            <w:tcW w:type="dxa" w:w="5760"/>
            <w:shd w:fill="F6F8F6"/>
            <w:vAlign w:val="top"/>
            <w:tcBorders>
              <w:bottom w:val="single" w:sz="3" w:color="DDE5DF"/>
            </w:tcBorders>
          </w:tcPr>
          <w:p>
            <w:pPr>
              <w:spacing w:after="0"/>
            </w:pPr>
            <w:r>
              <w:rPr>
                <w:sz w:val="15"/>
              </w:rPr>
              <w:t>Until you withdraw consent or object. We may keep a minimal suppression record so we do not contact you again against your wishes.</w:t>
            </w:r>
          </w:p>
        </w:tc>
      </w:tr>
      <w:tr>
        <w:tc>
          <w:tcPr>
            <w:tcW w:type="dxa" w:w="3600"/>
            <w:shd w:fill="FFFFFF"/>
            <w:vAlign w:val="top"/>
            <w:tcBorders>
              <w:bottom w:val="single" w:sz="3" w:color="DDE5DF"/>
            </w:tcBorders>
          </w:tcPr>
          <w:p>
            <w:pPr>
              <w:spacing w:after="0"/>
            </w:pPr>
            <w:r>
              <w:rPr>
                <w:b/>
                <w:color w:val="234B38"/>
                <w:sz w:val="15"/>
              </w:rPr>
              <w:t>Cookie and consent records</w:t>
            </w:r>
          </w:p>
        </w:tc>
        <w:tc>
          <w:tcPr>
            <w:tcW w:type="dxa" w:w="5760"/>
            <w:shd w:fill="FFFFFF"/>
            <w:vAlign w:val="top"/>
            <w:tcBorders>
              <w:bottom w:val="single" w:sz="3" w:color="DDE5DF"/>
            </w:tcBorders>
          </w:tcPr>
          <w:p>
            <w:pPr>
              <w:spacing w:after="0"/>
            </w:pPr>
            <w:r>
              <w:rPr>
                <w:sz w:val="15"/>
              </w:rPr>
              <w:t>For as long as reasonably needed to remember and demonstrate your choices, subject to the cookie settings and policy.</w:t>
            </w:r>
          </w:p>
        </w:tc>
      </w:tr>
    </w:tbl>
    <w:p>
      <w:pPr>
        <w:spacing w:after="0"/>
      </w:pPr>
    </w:p>
    <w:p>
      <w:r>
        <w:t>Retention periods are guidelines, not promises to keep every item for the full period. We delete or anonymise information when it is no longer reasonably needed, unless the law requires us to retain it.</w:t>
      </w:r>
    </w:p>
    <w:p>
      <w:pPr>
        <w:pStyle w:val="Heading1"/>
      </w:pPr>
      <w:r>
        <w:t>11. Security</w:t>
      </w:r>
    </w:p>
    <w:p>
      <w:r>
        <w:t>We use reasonable technical and organisational measures appropriate to the size and nature of the business. These may include access controls, device security, password protection, restricted staff access, secure cloud services, backups, confidentiality duties and procedures for dealing with suspected loss or unauthorised access. No method of transmission or storage is completely secure, but we take proportionate steps to reduce risk.</w:t>
      </w:r>
    </w:p>
    <w:p>
      <w:pPr>
        <w:pStyle w:val="Heading1"/>
      </w:pPr>
      <w:r>
        <w:t>12. Your data-protection rights</w:t>
      </w:r>
    </w:p>
    <w:p>
      <w:r>
        <w:t>Depending on the circumstances and the lawful basis, you may have the right to:</w:t>
      </w:r>
    </w:p>
    <w:p>
      <w:pPr>
        <w:pStyle w:val="ListBullet"/>
        <w:spacing w:after="50"/>
      </w:pPr>
      <w:r>
        <w:t>be informed about how your information is used;</w:t>
      </w:r>
    </w:p>
    <w:p>
      <w:pPr>
        <w:pStyle w:val="ListBullet"/>
        <w:spacing w:after="50"/>
      </w:pPr>
      <w:r>
        <w:t>ask for access to your personal information and related information;</w:t>
      </w:r>
    </w:p>
    <w:p>
      <w:pPr>
        <w:pStyle w:val="ListBullet"/>
        <w:spacing w:after="50"/>
      </w:pPr>
      <w:r>
        <w:t>ask us to correct inaccurate or incomplete information;</w:t>
      </w:r>
    </w:p>
    <w:p>
      <w:pPr>
        <w:pStyle w:val="ListBullet"/>
        <w:spacing w:after="50"/>
      </w:pPr>
      <w:r>
        <w:t>ask for erasure in circumstances where the right applies;</w:t>
      </w:r>
    </w:p>
    <w:p>
      <w:pPr>
        <w:pStyle w:val="ListBullet"/>
        <w:spacing w:after="50"/>
      </w:pPr>
      <w:r>
        <w:t>ask us to restrict processing in circumstances where the right applies;</w:t>
      </w:r>
    </w:p>
    <w:p>
      <w:pPr>
        <w:pStyle w:val="ListBullet"/>
        <w:spacing w:after="50"/>
      </w:pPr>
      <w:r>
        <w:t>object to processing based on legitimate interests and object at any time to direct marketing;</w:t>
      </w:r>
    </w:p>
    <w:p>
      <w:pPr>
        <w:pStyle w:val="ListBullet"/>
        <w:spacing w:after="50"/>
      </w:pPr>
      <w:r>
        <w:t>receive or transfer certain information in a portable format where the right applies;</w:t>
      </w:r>
    </w:p>
    <w:p>
      <w:pPr>
        <w:pStyle w:val="ListBullet"/>
        <w:spacing w:after="50"/>
      </w:pPr>
      <w:r>
        <w:t>withdraw consent at any time where we rely on consent, without affecting earlier lawful use;</w:t>
      </w:r>
    </w:p>
    <w:p>
      <w:pPr>
        <w:pStyle w:val="ListBullet"/>
        <w:spacing w:after="50"/>
      </w:pPr>
      <w:r>
        <w:t>complain to the Information Commissioner’s Office.</w:t>
      </w:r>
    </w:p>
    <w:p>
      <w:r>
        <w:t>To exercise a right, contact anywasteremovals@gmail.com. We may ask for information needed to confirm identity and locate the relevant records. Rights are not absolute and lawful exemptions may apply.</w:t>
      </w:r>
    </w:p>
    <w:p>
      <w:pPr>
        <w:pStyle w:val="Heading1"/>
      </w:pPr>
      <w:r>
        <w:t>13. Marketing communications</w:t>
      </w:r>
    </w:p>
    <w:p>
      <w:r>
        <w:t>We may send service-related messages without treating them as marketing. We will send promotional messages only where permitted by law. Every marketing message will provide a clear way to opt out, and you can object at any time by replying STOP or contacting us. We will not require consent to marketing as a condition of receiving a quote or service.</w:t>
      </w:r>
    </w:p>
    <w:p>
      <w:pPr>
        <w:pStyle w:val="Heading1"/>
      </w:pPr>
      <w:r>
        <w:t>14. Children</w:t>
      </w:r>
    </w:p>
    <w:p>
      <w:r>
        <w:t>Our services are not directed at children and bookings should be made by an adult with authority for the property and items. If we learn that we have received unnecessary personal information about a child, we will take reasonable steps to delete or appropriately restrict it.</w:t>
      </w:r>
    </w:p>
    <w:p>
      <w:pPr>
        <w:pStyle w:val="Heading1"/>
      </w:pPr>
      <w:r>
        <w:t>15. Automated decisions</w:t>
      </w:r>
    </w:p>
    <w:p>
      <w:r>
        <w:t>We do not normally make decisions about customers solely by automated means that produce legal or similarly significant effects. Automated tools may help route enquiries, detect spam or organise records, but material service and pricing decisions are made or reviewed by a person.</w:t>
      </w:r>
    </w:p>
    <w:p>
      <w:pPr>
        <w:pStyle w:val="Heading1"/>
      </w:pPr>
      <w:r>
        <w:t>16. Third-party websites and services</w:t>
      </w:r>
    </w:p>
    <w:p>
      <w:r>
        <w:t>Our website may link to WhatsApp, maps, social media, payment services or other external sites. Those services control their own processing and privacy practices. Please review their notices before providing information directly to them.</w:t>
      </w:r>
    </w:p>
    <w:p>
      <w:pPr>
        <w:pStyle w:val="Heading1"/>
      </w:pPr>
      <w:r>
        <w:t>17. Complaints and the ICO</w:t>
      </w:r>
    </w:p>
    <w:p>
      <w:r>
        <w:t>Please contact us first so we can investigate. You also have the right to complain to the Information Commissioner’s Office, the UK supervisory authority for data protection. The ICO provides current complaint information through its official website.</w:t>
      </w:r>
    </w:p>
    <w:p>
      <w:hyperlink r:id="rId11">
        <w:r>
          <w:rPr>
            <w:color w:val="4E9F3D"/>
            <w:u w:val="single"/>
          </w:rPr>
          <w:t>Information Commissioner’s Office</w:t>
        </w:r>
      </w:hyperlink>
    </w:p>
    <w:p>
      <w:pPr>
        <w:pStyle w:val="Heading1"/>
      </w:pPr>
      <w:r>
        <w:t>18. Changes to this policy</w:t>
      </w:r>
    </w:p>
    <w:p>
      <w:r>
        <w:t>We may update this policy when our services, suppliers, website or legal obligations change. The current version will be published on our website with the updated date. Where a change is material and we hold suitable contact details, we may also bring it to your attention directly.</w:t>
      </w:r>
    </w:p>
    <w:p>
      <w:pPr>
        <w:pStyle w:val="Heading1"/>
      </w:pPr>
      <w:r>
        <w:t>Contact details</w:t>
      </w:r>
    </w:p>
    <w:tbl>
      <w:tblPr>
        <w:tblW w:type="auto" w:w="0"/>
        <w:jc w:val="center"/>
        <w:tblLayout w:type="fixed"/>
        <w:tblLook w:firstColumn="1" w:firstRow="1" w:lastColumn="0" w:lastRow="0" w:noHBand="0" w:noVBand="1" w:val="04A0"/>
      </w:tblPr>
      <w:tblGrid>
        <w:gridCol w:w="2736"/>
        <w:gridCol w:w="6624"/>
      </w:tblGrid>
      <w:tr>
        <w:trPr>
          <w:tblHeader w:val="true"/>
        </w:trPr>
        <w:tc>
          <w:tcPr>
            <w:tcW w:type="dxa" w:w="4997"/>
            <w:shd w:fill="0B1612"/>
          </w:tcPr>
          <w:p>
            <w:pPr>
              <w:spacing w:after="0"/>
            </w:pPr>
            <w:r>
              <w:rPr>
                <w:b/>
                <w:color w:val="FFFFFF"/>
                <w:sz w:val="16"/>
              </w:rPr>
              <w:t>Item</w:t>
            </w:r>
          </w:p>
        </w:tc>
        <w:tc>
          <w:tcPr>
            <w:tcW w:type="dxa" w:w="4997"/>
            <w:shd w:fill="0B1612"/>
          </w:tcPr>
          <w:p>
            <w:pPr>
              <w:spacing w:after="0"/>
            </w:pPr>
            <w:r>
              <w:rPr>
                <w:b/>
                <w:color w:val="FFFFFF"/>
                <w:sz w:val="16"/>
              </w:rPr>
              <w:t>Details</w:t>
            </w:r>
          </w:p>
        </w:tc>
      </w:tr>
      <w:tr>
        <w:tc>
          <w:tcPr>
            <w:tcW w:type="dxa" w:w="2736"/>
            <w:shd w:fill="FFFFFF"/>
            <w:vAlign w:val="top"/>
            <w:tcBorders>
              <w:bottom w:val="single" w:sz="3" w:color="DDE5DF"/>
            </w:tcBorders>
          </w:tcPr>
          <w:p>
            <w:pPr>
              <w:spacing w:after="0"/>
            </w:pPr>
            <w:r>
              <w:rPr>
                <w:b/>
                <w:color w:val="234B38"/>
                <w:sz w:val="16"/>
              </w:rPr>
              <w:t>Controller</w:t>
            </w:r>
          </w:p>
        </w:tc>
        <w:tc>
          <w:tcPr>
            <w:tcW w:type="dxa" w:w="6624"/>
            <w:shd w:fill="FFFFFF"/>
            <w:vAlign w:val="top"/>
            <w:tcBorders>
              <w:bottom w:val="single" w:sz="3" w:color="DDE5DF"/>
            </w:tcBorders>
          </w:tcPr>
          <w:p>
            <w:pPr>
              <w:spacing w:after="0"/>
            </w:pPr>
            <w:r>
              <w:rPr>
                <w:sz w:val="16"/>
              </w:rPr>
              <w:t>Any Waste Removal Limited</w:t>
            </w:r>
          </w:p>
        </w:tc>
      </w:tr>
      <w:tr>
        <w:tc>
          <w:tcPr>
            <w:tcW w:type="dxa" w:w="2736"/>
            <w:shd w:fill="F6F8F6"/>
            <w:vAlign w:val="top"/>
            <w:tcBorders>
              <w:bottom w:val="single" w:sz="3" w:color="DDE5DF"/>
            </w:tcBorders>
          </w:tcPr>
          <w:p>
            <w:pPr>
              <w:spacing w:after="0"/>
            </w:pPr>
            <w:r>
              <w:rPr>
                <w:b/>
                <w:color w:val="234B38"/>
                <w:sz w:val="16"/>
              </w:rPr>
              <w:t>Trading name</w:t>
            </w:r>
          </w:p>
        </w:tc>
        <w:tc>
          <w:tcPr>
            <w:tcW w:type="dxa" w:w="6624"/>
            <w:shd w:fill="F6F8F6"/>
            <w:vAlign w:val="top"/>
            <w:tcBorders>
              <w:bottom w:val="single" w:sz="3" w:color="DDE5DF"/>
            </w:tcBorders>
          </w:tcPr>
          <w:p>
            <w:pPr>
              <w:spacing w:after="0"/>
            </w:pPr>
            <w:r>
              <w:rPr>
                <w:sz w:val="16"/>
              </w:rPr>
              <w:t>Any Waste Removal</w:t>
            </w:r>
          </w:p>
        </w:tc>
      </w:tr>
      <w:tr>
        <w:tc>
          <w:tcPr>
            <w:tcW w:type="dxa" w:w="2736"/>
            <w:shd w:fill="FFFFFF"/>
            <w:vAlign w:val="top"/>
            <w:tcBorders>
              <w:bottom w:val="single" w:sz="3" w:color="DDE5DF"/>
            </w:tcBorders>
          </w:tcPr>
          <w:p>
            <w:pPr>
              <w:spacing w:after="0"/>
            </w:pPr>
            <w:r>
              <w:rPr>
                <w:b/>
                <w:color w:val="234B38"/>
                <w:sz w:val="16"/>
              </w:rPr>
              <w:t>Company number</w:t>
            </w:r>
          </w:p>
        </w:tc>
        <w:tc>
          <w:tcPr>
            <w:tcW w:type="dxa" w:w="6624"/>
            <w:shd w:fill="FFFFFF"/>
            <w:vAlign w:val="top"/>
            <w:tcBorders>
              <w:bottom w:val="single" w:sz="3" w:color="DDE5DF"/>
            </w:tcBorders>
          </w:tcPr>
          <w:p>
            <w:pPr>
              <w:spacing w:after="0"/>
            </w:pPr>
            <w:r>
              <w:rPr>
                <w:sz w:val="16"/>
              </w:rPr>
              <w:t>16964847</w:t>
            </w:r>
          </w:p>
        </w:tc>
      </w:tr>
      <w:tr>
        <w:tc>
          <w:tcPr>
            <w:tcW w:type="dxa" w:w="2736"/>
            <w:shd w:fill="F6F8F6"/>
            <w:vAlign w:val="top"/>
            <w:tcBorders>
              <w:bottom w:val="single" w:sz="3" w:color="DDE5DF"/>
            </w:tcBorders>
          </w:tcPr>
          <w:p>
            <w:pPr>
              <w:spacing w:after="0"/>
            </w:pPr>
            <w:r>
              <w:rPr>
                <w:b/>
                <w:color w:val="234B38"/>
                <w:sz w:val="16"/>
              </w:rPr>
              <w:t>Registered office</w:t>
            </w:r>
          </w:p>
        </w:tc>
        <w:tc>
          <w:tcPr>
            <w:tcW w:type="dxa" w:w="6624"/>
            <w:shd w:fill="F6F8F6"/>
            <w:vAlign w:val="top"/>
            <w:tcBorders>
              <w:bottom w:val="single" w:sz="3" w:color="DDE5DF"/>
            </w:tcBorders>
          </w:tcPr>
          <w:p>
            <w:pPr>
              <w:spacing w:after="0"/>
            </w:pPr>
            <w:r>
              <w:rPr>
                <w:sz w:val="16"/>
              </w:rPr>
              <w:t>7 Popes Close, Colnbrook, Slough, England, SL3 0LP</w:t>
            </w:r>
          </w:p>
        </w:tc>
      </w:tr>
      <w:tr>
        <w:tc>
          <w:tcPr>
            <w:tcW w:type="dxa" w:w="2736"/>
            <w:shd w:fill="FFFFFF"/>
            <w:vAlign w:val="top"/>
            <w:tcBorders>
              <w:bottom w:val="single" w:sz="3" w:color="DDE5DF"/>
            </w:tcBorders>
          </w:tcPr>
          <w:p>
            <w:pPr>
              <w:spacing w:after="0"/>
            </w:pPr>
            <w:r>
              <w:rPr>
                <w:b/>
                <w:color w:val="234B38"/>
                <w:sz w:val="16"/>
              </w:rPr>
              <w:t>Telephone / WhatsApp</w:t>
            </w:r>
          </w:p>
        </w:tc>
        <w:tc>
          <w:tcPr>
            <w:tcW w:type="dxa" w:w="6624"/>
            <w:shd w:fill="FFFFFF"/>
            <w:vAlign w:val="top"/>
            <w:tcBorders>
              <w:bottom w:val="single" w:sz="3" w:color="DDE5DF"/>
            </w:tcBorders>
          </w:tcPr>
          <w:p>
            <w:pPr>
              <w:spacing w:after="0"/>
            </w:pPr>
            <w:r>
              <w:rPr>
                <w:sz w:val="16"/>
              </w:rPr>
              <w:t>07463 418783</w:t>
            </w:r>
          </w:p>
        </w:tc>
      </w:tr>
      <w:tr>
        <w:tc>
          <w:tcPr>
            <w:tcW w:type="dxa" w:w="2736"/>
            <w:shd w:fill="F6F8F6"/>
            <w:vAlign w:val="top"/>
            <w:tcBorders>
              <w:bottom w:val="single" w:sz="3" w:color="DDE5DF"/>
            </w:tcBorders>
          </w:tcPr>
          <w:p>
            <w:pPr>
              <w:spacing w:after="0"/>
            </w:pPr>
            <w:r>
              <w:rPr>
                <w:b/>
                <w:color w:val="234B38"/>
                <w:sz w:val="16"/>
              </w:rPr>
              <w:t>Email</w:t>
            </w:r>
          </w:p>
        </w:tc>
        <w:tc>
          <w:tcPr>
            <w:tcW w:type="dxa" w:w="6624"/>
            <w:shd w:fill="F6F8F6"/>
            <w:vAlign w:val="top"/>
            <w:tcBorders>
              <w:bottom w:val="single" w:sz="3" w:color="DDE5DF"/>
            </w:tcBorders>
          </w:tcPr>
          <w:p>
            <w:pPr>
              <w:spacing w:after="0"/>
            </w:pPr>
            <w:r>
              <w:rPr>
                <w:sz w:val="16"/>
              </w:rPr>
              <w:t>anywasteremovals@gmail.com</w:t>
            </w:r>
          </w:p>
        </w:tc>
      </w:tr>
      <w:tr>
        <w:tc>
          <w:tcPr>
            <w:tcW w:type="dxa" w:w="2736"/>
            <w:shd w:fill="FFFFFF"/>
            <w:vAlign w:val="top"/>
            <w:tcBorders>
              <w:bottom w:val="single" w:sz="3" w:color="DDE5DF"/>
            </w:tcBorders>
          </w:tcPr>
          <w:p>
            <w:pPr>
              <w:spacing w:after="0"/>
            </w:pPr>
            <w:r>
              <w:rPr>
                <w:b/>
                <w:color w:val="234B38"/>
                <w:sz w:val="16"/>
              </w:rPr>
              <w:t>Website</w:t>
            </w:r>
          </w:p>
        </w:tc>
        <w:tc>
          <w:tcPr>
            <w:tcW w:type="dxa" w:w="6624"/>
            <w:shd w:fill="FFFFFF"/>
            <w:vAlign w:val="top"/>
            <w:tcBorders>
              <w:bottom w:val="single" w:sz="3" w:color="DDE5DF"/>
            </w:tcBorders>
          </w:tcPr>
          <w:p>
            <w:pPr>
              <w:spacing w:after="0"/>
            </w:pPr>
            <w:r>
              <w:rPr>
                <w:sz w:val="16"/>
              </w:rPr>
              <w:t>www.anywasteremoval.uk</w:t>
            </w:r>
          </w:p>
        </w:tc>
      </w:tr>
    </w:tbl>
    <w:p>
      <w:pPr>
        <w:spacing w:after="0"/>
      </w:pPr>
    </w:p>
    <w:sectPr w:rsidR="00FC693F" w:rsidRPr="0006063C" w:rsidSect="00034616">
      <w:headerReference w:type="default" r:id="rId9"/>
      <w:footerReference w:type="default" r:id="rId10"/>
      <w:pgSz w:w="12240" w:h="15840"/>
      <w:pgMar w:top="1037" w:right="1123" w:bottom="1008" w:left="1123"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pPr>
    <w:r>
      <w:rPr>
        <w:rFonts w:ascii="Lato" w:hAnsi="Lato"/>
        <w:color w:val="5D6862"/>
        <w:sz w:val="14"/>
      </w:rPr>
      <w:t xml:space="preserve">Any Waste Removal Limited | Company No. 16964847 | Privacy Policy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center"/>
      <w:pBdr>
        <w:bottom w:val="single" w:sz="6" w:space="4" w:color="4E9F3D"/>
      </w:pBdr>
    </w:pPr>
    <w:r>
      <w:rPr>
        <w:rFonts w:ascii="Lato" w:hAnsi="Lato"/>
        <w:b/>
        <w:color w:val="4E9F3D"/>
        <w:sz w:val="15"/>
      </w:rPr>
      <w:t>ANY WASTE REMOVAL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Lato" w:hAnsi="Lato" w:eastAsia="Lato"/>
      <w:color w:val="111111"/>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Lato" w:hAnsi="Lato" w:eastAsia="Lato"/>
      <w:b/>
      <w:bCs/>
      <w:color w:val="0B161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Lato" w:hAnsi="Lato" w:eastAsia="Lato"/>
      <w:b/>
      <w:bCs/>
      <w:color w:val="234B38"/>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Lato" w:hAnsi="Lato" w:eastAsia="Lato"/>
      <w:b/>
      <w:bCs/>
      <w:color w:val="11111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Lato" w:hAnsi="Lato" w:eastAsia="Lato"/>
      <w:b/>
      <w:color w:val="0B161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Lato" w:hAnsi="Lato" w:eastAsia="Lato"/>
      <w:b w:val="0"/>
      <w:i/>
      <w:iCs/>
      <w:color w:val="5D6862"/>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keepNext/>
      <w:spacing w:after="40"/>
    </w:pPr>
    <w:rPr>
      <w:rFonts w:ascii="Lato" w:hAnsi="Lato" w:eastAsia="Lato"/>
      <w:b/>
      <w:color w:val="4E9F3D"/>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 Waste Removal Privacy Policy</dc:title>
  <dc:subject>Customer and website privacy policy</dc:subject>
  <dc:creator>Any Waste Removal Limited</dc:creator>
  <cp:keywords>privacy policy, UK GDPR, waste removal, WhatsApp booking</cp:keywords>
  <dc:description>generated by python-docx</dc:description>
  <cp:lastModifiedBy/>
  <cp:revision>1</cp:revision>
  <dcterms:created xsi:type="dcterms:W3CDTF">2013-12-23T23:15:00Z</dcterms:created>
  <dcterms:modified xsi:type="dcterms:W3CDTF">2013-12-23T23:15:00Z</dcterms:modified>
  <cp:category/>
</cp:coreProperties>
</file>